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304E11" w:rsidRDefault="00B8547A" w:rsidP="00B71398">
      <w:pPr>
        <w:pStyle w:val="Default"/>
        <w:rPr>
          <w:b/>
          <w:color w:val="auto"/>
          <w:sz w:val="22"/>
          <w:szCs w:val="22"/>
        </w:rPr>
      </w:pPr>
      <w:r w:rsidRPr="00B8547A">
        <w:rPr>
          <w:b/>
          <w:color w:val="auto"/>
          <w:sz w:val="22"/>
          <w:szCs w:val="22"/>
        </w:rPr>
        <w:t>AFFIDAMENTO DIRETTO TELEMATICO, AI SENSI DELL’ART 50 COMMA 1 LETTERA B) DEL D.LGS 36/2023 PER LA FORNITURA DI DM DEDICATI AL FUNZIONAMENTO DELLA PIATTAFORMA COMBINATA LASER A FEMTOSECONIDI – LASER AD ECCIMERI DI PROPRIETÀ, PER IL PERIODO DI 24 MESI</w:t>
      </w:r>
    </w:p>
    <w:p w:rsidR="00B8547A" w:rsidRDefault="00B8547A" w:rsidP="00B71398">
      <w:pPr>
        <w:pStyle w:val="Default"/>
        <w:rPr>
          <w:b/>
          <w:color w:val="auto"/>
          <w:sz w:val="22"/>
          <w:szCs w:val="22"/>
        </w:rPr>
      </w:pPr>
    </w:p>
    <w:p w:rsidR="00B8547A" w:rsidRDefault="00B8547A" w:rsidP="00B71398">
      <w:pPr>
        <w:pStyle w:val="Default"/>
        <w:rPr>
          <w:lang w:eastAsia="ar-SA"/>
        </w:rPr>
      </w:pPr>
      <w:bookmarkStart w:id="0" w:name="_GoBack"/>
      <w:bookmarkEnd w:id="0"/>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1238A"/>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8547A"/>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06C03"/>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CD845-B435-4E03-B0FE-4511AB3CD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3386</Words>
  <Characters>19302</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Francesco Callegari</cp:lastModifiedBy>
  <cp:revision>2</cp:revision>
  <cp:lastPrinted>2023-07-06T07:36:00Z</cp:lastPrinted>
  <dcterms:created xsi:type="dcterms:W3CDTF">2025-04-10T13:42:00Z</dcterms:created>
  <dcterms:modified xsi:type="dcterms:W3CDTF">2025-04-10T13:42:00Z</dcterms:modified>
</cp:coreProperties>
</file>